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1C26" w14:textId="77777777" w:rsidR="0048613B" w:rsidRPr="00357365" w:rsidRDefault="0048613B" w:rsidP="0048613B">
      <w:pPr>
        <w:spacing w:after="0"/>
        <w:jc w:val="center"/>
        <w:rPr>
          <w:b/>
          <w:bCs/>
          <w:sz w:val="12"/>
          <w:szCs w:val="12"/>
        </w:rPr>
      </w:pPr>
    </w:p>
    <w:p w14:paraId="15B6292C" w14:textId="168044F1" w:rsidR="0048613B" w:rsidRDefault="0048613B" w:rsidP="0048613B">
      <w:pPr>
        <w:jc w:val="center"/>
        <w:rPr>
          <w:b/>
          <w:bCs/>
        </w:rPr>
      </w:pPr>
      <w:r w:rsidRPr="0048613B">
        <w:rPr>
          <w:b/>
          <w:bCs/>
        </w:rPr>
        <w:t xml:space="preserve">Cover Note to XYZ’s Proposed Amendment to </w:t>
      </w:r>
      <w:proofErr w:type="gramStart"/>
      <w:r w:rsidRPr="0048613B">
        <w:rPr>
          <w:b/>
          <w:bCs/>
        </w:rPr>
        <w:t>the .</w:t>
      </w:r>
      <w:r>
        <w:rPr>
          <w:b/>
          <w:bCs/>
        </w:rPr>
        <w:t>LAT</w:t>
      </w:r>
      <w:proofErr w:type="gramEnd"/>
      <w:r>
        <w:rPr>
          <w:b/>
          <w:bCs/>
        </w:rPr>
        <w:t xml:space="preserve"> </w:t>
      </w:r>
      <w:r w:rsidRPr="0048613B">
        <w:rPr>
          <w:b/>
          <w:bCs/>
        </w:rPr>
        <w:t>Registry-Registrar Agreement</w:t>
      </w:r>
    </w:p>
    <w:p w14:paraId="38F598C6" w14:textId="3A5F94AF" w:rsidR="0048613B" w:rsidRDefault="002229BF" w:rsidP="0048613B">
      <w:r>
        <w:t>8</w:t>
      </w:r>
      <w:r w:rsidR="0048613B">
        <w:t xml:space="preserve"> September 2022</w:t>
      </w:r>
      <w:r w:rsidR="0048613B" w:rsidRPr="0048613B">
        <w:t xml:space="preserve"> </w:t>
      </w:r>
    </w:p>
    <w:p w14:paraId="1D4C8832" w14:textId="77777777" w:rsidR="0048613B" w:rsidRDefault="0048613B" w:rsidP="0048613B">
      <w:r w:rsidRPr="0048613B">
        <w:t>To the members of the Registrar Stakeholder Group</w:t>
      </w:r>
      <w:r>
        <w:t>:</w:t>
      </w:r>
      <w:r w:rsidRPr="0048613B">
        <w:t xml:space="preserve"> </w:t>
      </w:r>
    </w:p>
    <w:p w14:paraId="614CF8BF" w14:textId="733E6FA8" w:rsidR="00DC36F2" w:rsidRDefault="0048613B" w:rsidP="0048613B">
      <w:r w:rsidRPr="0048613B">
        <w:t xml:space="preserve">Effective </w:t>
      </w:r>
      <w:r>
        <w:t>7 July 2022</w:t>
      </w:r>
      <w:r w:rsidRPr="0048613B">
        <w:t>, XYZ.COM LLC (“</w:t>
      </w:r>
      <w:r w:rsidRPr="0048613B">
        <w:rPr>
          <w:b/>
          <w:bCs/>
        </w:rPr>
        <w:t>XYZ</w:t>
      </w:r>
      <w:r w:rsidRPr="0048613B">
        <w:t xml:space="preserve">”) became the Registry Operator for </w:t>
      </w:r>
      <w:proofErr w:type="gramStart"/>
      <w:r w:rsidRPr="0048613B">
        <w:t>the .</w:t>
      </w:r>
      <w:r>
        <w:t>LAT</w:t>
      </w:r>
      <w:proofErr w:type="gramEnd"/>
      <w:r w:rsidRPr="0048613B">
        <w:t xml:space="preserve"> top-level domain (“</w:t>
      </w:r>
      <w:r w:rsidRPr="0048613B">
        <w:rPr>
          <w:b/>
          <w:bCs/>
        </w:rPr>
        <w:t>TLD</w:t>
      </w:r>
      <w:r w:rsidRPr="0048613B">
        <w:t xml:space="preserve">”) through an ICANN-approved assignment </w:t>
      </w:r>
      <w:r>
        <w:t xml:space="preserve">and assumption </w:t>
      </w:r>
      <w:r w:rsidRPr="0048613B">
        <w:t>of the Registry Agreement</w:t>
      </w:r>
      <w:r>
        <w:t xml:space="preserve"> </w:t>
      </w:r>
      <w:r w:rsidRPr="0048613B">
        <w:t>for the TLD</w:t>
      </w:r>
      <w:r>
        <w:t xml:space="preserve"> (“</w:t>
      </w:r>
      <w:r w:rsidRPr="0048613B">
        <w:rPr>
          <w:b/>
          <w:bCs/>
        </w:rPr>
        <w:t>RA</w:t>
      </w:r>
      <w:r>
        <w:t>”)</w:t>
      </w:r>
      <w:r w:rsidRPr="0048613B">
        <w:t xml:space="preserve">. We </w:t>
      </w:r>
      <w:r>
        <w:t xml:space="preserve">assumed the rights and obligations under the RA from </w:t>
      </w:r>
      <w:r w:rsidRPr="0048613B">
        <w:t xml:space="preserve">ECOM-LAC </w:t>
      </w:r>
      <w:proofErr w:type="spellStart"/>
      <w:r w:rsidRPr="0048613B">
        <w:t>Federaciòn</w:t>
      </w:r>
      <w:proofErr w:type="spellEnd"/>
      <w:r w:rsidRPr="0048613B">
        <w:t xml:space="preserve"> de </w:t>
      </w:r>
      <w:proofErr w:type="spellStart"/>
      <w:r w:rsidRPr="0048613B">
        <w:t>Latinoamèrica</w:t>
      </w:r>
      <w:proofErr w:type="spellEnd"/>
      <w:r w:rsidRPr="0048613B">
        <w:t xml:space="preserve"> y </w:t>
      </w:r>
      <w:proofErr w:type="spellStart"/>
      <w:r w:rsidRPr="0048613B">
        <w:t>el</w:t>
      </w:r>
      <w:proofErr w:type="spellEnd"/>
      <w:r w:rsidRPr="0048613B">
        <w:t xml:space="preserve"> Caribe </w:t>
      </w:r>
      <w:proofErr w:type="gramStart"/>
      <w:r w:rsidRPr="0048613B">
        <w:t>para Internet</w:t>
      </w:r>
      <w:proofErr w:type="gramEnd"/>
      <w:r w:rsidRPr="0048613B">
        <w:t xml:space="preserve"> y </w:t>
      </w:r>
      <w:proofErr w:type="spellStart"/>
      <w:r w:rsidRPr="0048613B">
        <w:t>el</w:t>
      </w:r>
      <w:proofErr w:type="spellEnd"/>
      <w:r w:rsidRPr="0048613B">
        <w:t xml:space="preserve"> Comercio </w:t>
      </w:r>
      <w:proofErr w:type="spellStart"/>
      <w:r w:rsidRPr="0048613B">
        <w:t>Electrònico</w:t>
      </w:r>
      <w:proofErr w:type="spellEnd"/>
      <w:r>
        <w:t xml:space="preserve"> </w:t>
      </w:r>
      <w:r w:rsidRPr="0048613B">
        <w:t>("</w:t>
      </w:r>
      <w:r w:rsidRPr="00DC36F2">
        <w:rPr>
          <w:b/>
          <w:bCs/>
        </w:rPr>
        <w:t xml:space="preserve">Previous </w:t>
      </w:r>
      <w:r w:rsidR="00DC36F2" w:rsidRPr="00DC36F2">
        <w:rPr>
          <w:b/>
          <w:bCs/>
        </w:rPr>
        <w:t>RO</w:t>
      </w:r>
      <w:r w:rsidRPr="0048613B">
        <w:t xml:space="preserve">"). </w:t>
      </w:r>
    </w:p>
    <w:p w14:paraId="3F86834D" w14:textId="77777777" w:rsidR="00DC36F2" w:rsidRDefault="0048613B" w:rsidP="0048613B">
      <w:r w:rsidRPr="0048613B">
        <w:t xml:space="preserve">Pursuant to Section </w:t>
      </w:r>
      <w:r w:rsidR="00DC36F2">
        <w:t>10.1.2</w:t>
      </w:r>
      <w:r w:rsidRPr="0048613B">
        <w:t xml:space="preserve"> of the </w:t>
      </w:r>
      <w:proofErr w:type="gramStart"/>
      <w:r w:rsidR="00DC36F2">
        <w:t xml:space="preserve">current </w:t>
      </w:r>
      <w:r w:rsidRPr="0048613B">
        <w:t>.</w:t>
      </w:r>
      <w:r w:rsidR="00DC36F2">
        <w:t>LAT</w:t>
      </w:r>
      <w:proofErr w:type="gramEnd"/>
      <w:r w:rsidR="00DC36F2">
        <w:t xml:space="preserve"> </w:t>
      </w:r>
      <w:r w:rsidRPr="0048613B">
        <w:t>Registry-Registrar Agreement ("</w:t>
      </w:r>
      <w:r w:rsidRPr="00DC36F2">
        <w:rPr>
          <w:b/>
          <w:bCs/>
        </w:rPr>
        <w:t>RRA</w:t>
      </w:r>
      <w:r w:rsidRPr="0048613B">
        <w:t xml:space="preserve">"), all of the Previous </w:t>
      </w:r>
      <w:r w:rsidR="00DC36F2">
        <w:t xml:space="preserve">RO’s </w:t>
      </w:r>
      <w:r w:rsidRPr="0048613B">
        <w:t xml:space="preserve">rights and obligations under the </w:t>
      </w:r>
      <w:r w:rsidR="00DC36F2">
        <w:t xml:space="preserve">executed </w:t>
      </w:r>
      <w:r w:rsidRPr="0048613B">
        <w:t>RRA</w:t>
      </w:r>
      <w:r w:rsidR="00DC36F2">
        <w:t>s</w:t>
      </w:r>
      <w:r w:rsidRPr="0048613B">
        <w:t xml:space="preserve"> automatically transferred to XYZ. XYZ and the Previous </w:t>
      </w:r>
      <w:r w:rsidR="00DC36F2">
        <w:t xml:space="preserve">RO </w:t>
      </w:r>
      <w:r w:rsidRPr="0048613B">
        <w:t xml:space="preserve">also entered into an assignment and assumption agreement under which XYZ was assigned and expressly assumed all of the Previous </w:t>
      </w:r>
      <w:r w:rsidR="00DC36F2">
        <w:t>RO’s</w:t>
      </w:r>
      <w:r w:rsidRPr="0048613B">
        <w:t xml:space="preserve"> </w:t>
      </w:r>
      <w:r w:rsidR="00DC36F2">
        <w:t xml:space="preserve">rights and </w:t>
      </w:r>
      <w:r w:rsidRPr="0048613B">
        <w:t xml:space="preserve">obligations under the </w:t>
      </w:r>
      <w:r w:rsidR="00DC36F2">
        <w:t xml:space="preserve">executed RRAs. </w:t>
      </w:r>
    </w:p>
    <w:p w14:paraId="3069AF78" w14:textId="77777777" w:rsidR="00DC36F2" w:rsidRDefault="0048613B" w:rsidP="0048613B">
      <w:r w:rsidRPr="0048613B">
        <w:t xml:space="preserve">XYZ intends to amend the RRA pursuant to the ICANN Procedure for Consideration of Proposed Amendments to gTLD Registry-Registrar Agreements. This cover letter is being provided pursuant to Paragraph 1 of that procedure. </w:t>
      </w:r>
    </w:p>
    <w:p w14:paraId="2338D302" w14:textId="491EA97A" w:rsidR="006D33B8" w:rsidRPr="006D33B8" w:rsidRDefault="0048613B" w:rsidP="0048613B">
      <w:pPr>
        <w:rPr>
          <w:b/>
          <w:bCs/>
        </w:rPr>
      </w:pPr>
      <w:r w:rsidRPr="0048613B">
        <w:t xml:space="preserve">Enclosed with this cover letter are (a) a clean version of the proposed </w:t>
      </w:r>
      <w:r w:rsidR="00DC36F2">
        <w:t>amended</w:t>
      </w:r>
      <w:r w:rsidRPr="0048613B">
        <w:t xml:space="preserve"> RRA and (b) a tracked version of the proposed updated RRA with redlines from </w:t>
      </w:r>
      <w:r w:rsidR="006D33B8">
        <w:t xml:space="preserve">XYZ’s recently-approved Registry-Registrar Agreement </w:t>
      </w:r>
      <w:proofErr w:type="gramStart"/>
      <w:r w:rsidR="006D33B8">
        <w:t>for .AUDIO</w:t>
      </w:r>
      <w:proofErr w:type="gramEnd"/>
      <w:r w:rsidR="006D33B8">
        <w:t xml:space="preserve">.  </w:t>
      </w:r>
      <w:r w:rsidR="006D33B8" w:rsidRPr="006D33B8">
        <w:rPr>
          <w:b/>
          <w:bCs/>
          <w:i/>
          <w:iCs/>
        </w:rPr>
        <w:t xml:space="preserve">Note that we are not providing redlines from the current version of the RRA </w:t>
      </w:r>
      <w:r w:rsidR="006D33B8">
        <w:rPr>
          <w:b/>
          <w:bCs/>
          <w:i/>
          <w:iCs/>
        </w:rPr>
        <w:t xml:space="preserve">because </w:t>
      </w:r>
      <w:r w:rsidR="006D33B8" w:rsidRPr="006D33B8">
        <w:rPr>
          <w:b/>
          <w:bCs/>
          <w:i/>
          <w:iCs/>
        </w:rPr>
        <w:t xml:space="preserve">the proposed amendments amount to a complete replacement of the current version of the RRA and the proposed amended RRA is very similar to XYZ’s other </w:t>
      </w:r>
      <w:r w:rsidR="00204C6F">
        <w:rPr>
          <w:b/>
          <w:bCs/>
          <w:i/>
          <w:iCs/>
        </w:rPr>
        <w:t>r</w:t>
      </w:r>
      <w:r w:rsidR="006D33B8" w:rsidRPr="006D33B8">
        <w:rPr>
          <w:b/>
          <w:bCs/>
          <w:i/>
          <w:iCs/>
        </w:rPr>
        <w:t>egistry-</w:t>
      </w:r>
      <w:r w:rsidR="00204C6F">
        <w:rPr>
          <w:b/>
          <w:bCs/>
          <w:i/>
          <w:iCs/>
        </w:rPr>
        <w:t>r</w:t>
      </w:r>
      <w:r w:rsidR="006D33B8" w:rsidRPr="006D33B8">
        <w:rPr>
          <w:b/>
          <w:bCs/>
          <w:i/>
          <w:iCs/>
        </w:rPr>
        <w:t xml:space="preserve">egistrar </w:t>
      </w:r>
      <w:r w:rsidR="00204C6F">
        <w:rPr>
          <w:b/>
          <w:bCs/>
          <w:i/>
          <w:iCs/>
        </w:rPr>
        <w:t>a</w:t>
      </w:r>
      <w:r w:rsidR="006D33B8" w:rsidRPr="006D33B8">
        <w:rPr>
          <w:b/>
          <w:bCs/>
          <w:i/>
          <w:iCs/>
        </w:rPr>
        <w:t>greement</w:t>
      </w:r>
      <w:r w:rsidR="00204C6F">
        <w:rPr>
          <w:b/>
          <w:bCs/>
          <w:i/>
          <w:iCs/>
        </w:rPr>
        <w:t>s</w:t>
      </w:r>
      <w:r w:rsidR="006D33B8" w:rsidRPr="006D33B8">
        <w:rPr>
          <w:b/>
          <w:bCs/>
          <w:i/>
          <w:iCs/>
        </w:rPr>
        <w:t>.</w:t>
      </w:r>
      <w:r w:rsidR="006D33B8">
        <w:rPr>
          <w:b/>
          <w:bCs/>
        </w:rPr>
        <w:t xml:space="preserve"> </w:t>
      </w:r>
    </w:p>
    <w:p w14:paraId="242D32A7" w14:textId="1ABFB565" w:rsidR="001420EC" w:rsidRDefault="0048613B" w:rsidP="0048613B">
      <w:r w:rsidRPr="0048613B">
        <w:t>The purpose</w:t>
      </w:r>
      <w:r w:rsidR="00204C6F">
        <w:t>s</w:t>
      </w:r>
      <w:r w:rsidRPr="0048613B">
        <w:t xml:space="preserve"> of the </w:t>
      </w:r>
      <w:r w:rsidR="006D33B8">
        <w:t xml:space="preserve">proposed amendment to the RRA </w:t>
      </w:r>
      <w:r w:rsidR="00204C6F">
        <w:t xml:space="preserve">are </w:t>
      </w:r>
      <w:r w:rsidR="006D33B8">
        <w:t xml:space="preserve">as follows: (a) </w:t>
      </w:r>
      <w:r w:rsidRPr="0048613B">
        <w:t xml:space="preserve">to bring the </w:t>
      </w:r>
      <w:r w:rsidR="001420EC">
        <w:t xml:space="preserve">RRA generally </w:t>
      </w:r>
      <w:r w:rsidRPr="0048613B">
        <w:t>in line with XYZ’s existing registry-registrar agreements for its other top-level domains</w:t>
      </w:r>
      <w:r w:rsidR="006D33B8">
        <w:t xml:space="preserve">, (b) to address various concerns raised by the </w:t>
      </w:r>
      <w:r w:rsidR="006D33B8" w:rsidRPr="006D33B8">
        <w:t>Registrar Stakeholder Group</w:t>
      </w:r>
      <w:r w:rsidR="006D33B8">
        <w:t xml:space="preserve"> when recently approving the .AUDIO Registry-Registrar Agreement, (c) to address and incorporate the </w:t>
      </w:r>
      <w:bookmarkStart w:id="0" w:name="_Hlk113534082"/>
      <w:r w:rsidR="006D33B8" w:rsidRPr="006D33B8">
        <w:t>2021 EU Standard Contractual Clauses</w:t>
      </w:r>
      <w:r w:rsidR="006D33B8">
        <w:t xml:space="preserve"> </w:t>
      </w:r>
      <w:bookmarkEnd w:id="0"/>
      <w:r w:rsidR="006D33B8">
        <w:t xml:space="preserve">(d) </w:t>
      </w:r>
      <w:r w:rsidR="001420EC">
        <w:t xml:space="preserve">to incorporate the </w:t>
      </w:r>
      <w:bookmarkStart w:id="1" w:name="_Hlk113534095"/>
      <w:r w:rsidR="001420EC" w:rsidRPr="001420EC">
        <w:t>International Data Transfer Addendum to the EU Standard Contractual Clauses issued by the UK Information Commissioner</w:t>
      </w:r>
      <w:bookmarkEnd w:id="1"/>
      <w:r w:rsidR="00BB0797">
        <w:t xml:space="preserve"> and (e) to generally “clean up” the agreement</w:t>
      </w:r>
      <w:r w:rsidRPr="0048613B">
        <w:t xml:space="preserve">. </w:t>
      </w:r>
    </w:p>
    <w:p w14:paraId="29B50080" w14:textId="0C4D62F8" w:rsidR="00357365" w:rsidRDefault="00357365" w:rsidP="00357365">
      <w:r>
        <w:t xml:space="preserve">With regard to the RRA Data Processing Addendum – rather than update the standard addendum to incorporate the </w:t>
      </w:r>
      <w:r w:rsidRPr="00357365">
        <w:t>2021 EU Standard Contractual Clauses</w:t>
      </w:r>
      <w:r>
        <w:t xml:space="preserve"> and the </w:t>
      </w:r>
      <w:r w:rsidRPr="00357365">
        <w:t>International Data Transfer Addendum to the EU Standard Contractual Clauses issued by the UK Information Commissioner</w:t>
      </w:r>
      <w:r>
        <w:t xml:space="preserve">, we chose to incorporate those via an amendment that’s included as part of the RRA. This should help make the updates easier to digest. </w:t>
      </w:r>
    </w:p>
    <w:p w14:paraId="51E1A159" w14:textId="29EE8E8D" w:rsidR="0048613B" w:rsidRDefault="0048613B" w:rsidP="0048613B">
      <w:r w:rsidRPr="0048613B">
        <w:t xml:space="preserve">We look forward to working with you all on this exciting TLD. If you have any questions about these amendments or anything else, don’t hesitate to reach out to me at </w:t>
      </w:r>
      <w:proofErr w:type="spellStart"/>
      <w:r w:rsidRPr="0048613B">
        <w:t>grant@team.xyz</w:t>
      </w:r>
      <w:proofErr w:type="spellEnd"/>
      <w:r w:rsidRPr="0048613B">
        <w:t>.</w:t>
      </w:r>
    </w:p>
    <w:p w14:paraId="34D75E16" w14:textId="7B322DFF" w:rsidR="002229BF" w:rsidRDefault="002229BF" w:rsidP="002229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4F1B7B88" w14:textId="77777777" w:rsidR="00357365" w:rsidRDefault="00357365" w:rsidP="002229BF">
      <w:pPr>
        <w:spacing w:after="0"/>
      </w:pPr>
    </w:p>
    <w:p w14:paraId="732411C6" w14:textId="77777777" w:rsidR="002229BF" w:rsidRDefault="002229BF" w:rsidP="002229BF">
      <w:pPr>
        <w:spacing w:after="0"/>
      </w:pPr>
    </w:p>
    <w:p w14:paraId="7DC27483" w14:textId="5B551223" w:rsidR="002229BF" w:rsidRDefault="002229BF" w:rsidP="002229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Grant Carpenter</w:t>
      </w:r>
    </w:p>
    <w:p w14:paraId="73BB7478" w14:textId="40F1E53E" w:rsidR="002229BF" w:rsidRPr="0048613B" w:rsidRDefault="002229BF" w:rsidP="003573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General Counsel, XYZ</w:t>
      </w:r>
    </w:p>
    <w:sectPr w:rsidR="002229BF" w:rsidRPr="0048613B" w:rsidSect="00357365">
      <w:headerReference w:type="default" r:id="rId6"/>
      <w:headerReference w:type="first" r:id="rId7"/>
      <w:pgSz w:w="12240" w:h="15840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613D" w14:textId="77777777" w:rsidR="004677A3" w:rsidRDefault="004677A3" w:rsidP="0048613B">
      <w:pPr>
        <w:spacing w:after="0" w:line="240" w:lineRule="auto"/>
      </w:pPr>
      <w:r>
        <w:separator/>
      </w:r>
    </w:p>
  </w:endnote>
  <w:endnote w:type="continuationSeparator" w:id="0">
    <w:p w14:paraId="306CA20A" w14:textId="77777777" w:rsidR="004677A3" w:rsidRDefault="004677A3" w:rsidP="0048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CEA3" w14:textId="77777777" w:rsidR="004677A3" w:rsidRDefault="004677A3" w:rsidP="0048613B">
      <w:pPr>
        <w:spacing w:after="0" w:line="240" w:lineRule="auto"/>
      </w:pPr>
      <w:r>
        <w:separator/>
      </w:r>
    </w:p>
  </w:footnote>
  <w:footnote w:type="continuationSeparator" w:id="0">
    <w:p w14:paraId="011CA5B9" w14:textId="77777777" w:rsidR="004677A3" w:rsidRDefault="004677A3" w:rsidP="0048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4CEC" w14:textId="77777777" w:rsidR="0048613B" w:rsidRDefault="0048613B" w:rsidP="0048613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991F" w14:textId="6A070FCC" w:rsidR="0048613B" w:rsidRDefault="0048613B" w:rsidP="0048613B">
    <w:pPr>
      <w:pStyle w:val="Header"/>
      <w:jc w:val="center"/>
    </w:pPr>
    <w:r>
      <w:rPr>
        <w:noProof/>
      </w:rPr>
      <w:drawing>
        <wp:inline distT="0" distB="0" distL="0" distR="0" wp14:anchorId="768EDC15" wp14:editId="75A06BB5">
          <wp:extent cx="1595471" cy="613643"/>
          <wp:effectExtent l="0" t="0" r="508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026" cy="622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F5F49B" w14:textId="532BAF9A" w:rsidR="0048613B" w:rsidRDefault="0048613B" w:rsidP="0048613B">
    <w:pPr>
      <w:pStyle w:val="Header"/>
      <w:pBdr>
        <w:bottom w:val="single" w:sz="12" w:space="1" w:color="auto"/>
      </w:pBdr>
      <w:jc w:val="center"/>
    </w:pPr>
    <w:r>
      <w:t>2121 E Tropicana Ave, Suite 2, Las Vegas, NV 89119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3B"/>
    <w:rsid w:val="001420EC"/>
    <w:rsid w:val="001B3A7B"/>
    <w:rsid w:val="00204C6F"/>
    <w:rsid w:val="002229BF"/>
    <w:rsid w:val="00357365"/>
    <w:rsid w:val="004677A3"/>
    <w:rsid w:val="0048613B"/>
    <w:rsid w:val="006D33B8"/>
    <w:rsid w:val="00790304"/>
    <w:rsid w:val="009368DD"/>
    <w:rsid w:val="00B200B3"/>
    <w:rsid w:val="00B35042"/>
    <w:rsid w:val="00B927EB"/>
    <w:rsid w:val="00BB0797"/>
    <w:rsid w:val="00C45694"/>
    <w:rsid w:val="00D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9B9A"/>
  <w15:chartTrackingRefBased/>
  <w15:docId w15:val="{39F5CFB1-8723-4BB5-8E54-F8310F20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13B"/>
  </w:style>
  <w:style w:type="paragraph" w:styleId="Footer">
    <w:name w:val="footer"/>
    <w:basedOn w:val="Normal"/>
    <w:link w:val="FooterChar"/>
    <w:uiPriority w:val="99"/>
    <w:unhideWhenUsed/>
    <w:rsid w:val="0048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13B"/>
  </w:style>
  <w:style w:type="character" w:styleId="Hyperlink">
    <w:name w:val="Hyperlink"/>
    <w:basedOn w:val="DefaultParagraphFont"/>
    <w:uiPriority w:val="99"/>
    <w:unhideWhenUsed/>
    <w:rsid w:val="00222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Carpenter</dc:creator>
  <cp:keywords/>
  <dc:description/>
  <cp:lastModifiedBy>Maritza Alarcon</cp:lastModifiedBy>
  <cp:revision>2</cp:revision>
  <dcterms:created xsi:type="dcterms:W3CDTF">2022-09-08T22:09:00Z</dcterms:created>
  <dcterms:modified xsi:type="dcterms:W3CDTF">2022-09-08T22:09:00Z</dcterms:modified>
</cp:coreProperties>
</file>